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4695" w14:textId="77777777" w:rsidR="00116CB1" w:rsidRDefault="00116CB1" w:rsidP="00116CB1">
      <w:pPr>
        <w:rPr>
          <w:b/>
          <w:sz w:val="28"/>
          <w:szCs w:val="28"/>
        </w:rPr>
      </w:pPr>
      <w:r>
        <w:rPr>
          <w:b/>
          <w:sz w:val="28"/>
          <w:szCs w:val="28"/>
        </w:rPr>
        <w:t>Ordering a Non-Catalog Item</w:t>
      </w:r>
    </w:p>
    <w:p w14:paraId="6F28AEC6" w14:textId="7B07FE0C" w:rsidR="00D87C30" w:rsidRPr="00D87C30" w:rsidRDefault="00D87C30" w:rsidP="00D87C30">
      <w:r w:rsidRPr="00D87C30">
        <w:t xml:space="preserve">Before placing a </w:t>
      </w:r>
      <w:r w:rsidR="00BF376E">
        <w:t>N</w:t>
      </w:r>
      <w:r w:rsidRPr="00D87C30">
        <w:t>on-</w:t>
      </w:r>
      <w:r w:rsidR="00BF376E">
        <w:t>C</w:t>
      </w:r>
      <w:r w:rsidRPr="00D87C30">
        <w:t>atalog</w:t>
      </w:r>
      <w:r w:rsidR="00B77B1A">
        <w:t xml:space="preserve"> </w:t>
      </w:r>
      <w:r w:rsidR="00BF376E">
        <w:t>I</w:t>
      </w:r>
      <w:r w:rsidR="00B77B1A">
        <w:t>tem</w:t>
      </w:r>
      <w:r w:rsidRPr="00D87C30">
        <w:t xml:space="preserve"> order, always search for the </w:t>
      </w:r>
      <w:r w:rsidR="00824F9E">
        <w:t>item</w:t>
      </w:r>
      <w:r w:rsidRPr="00D87C30">
        <w:t xml:space="preserve"> using Shop Search as this is the only way to ensure contract pricing. If you do not find the item, </w:t>
      </w:r>
      <w:r w:rsidR="00B77B1A">
        <w:t>create</w:t>
      </w:r>
      <w:r w:rsidRPr="00D87C30">
        <w:t xml:space="preserve"> the order as </w:t>
      </w:r>
      <w:r w:rsidR="00BF376E">
        <w:t>N</w:t>
      </w:r>
      <w:r w:rsidRPr="00D87C30">
        <w:t>on-</w:t>
      </w:r>
      <w:r w:rsidR="00BF376E">
        <w:t>C</w:t>
      </w:r>
      <w:r w:rsidRPr="00D87C30">
        <w:t>atalog</w:t>
      </w:r>
      <w:r w:rsidR="00B77B1A">
        <w:t xml:space="preserve"> </w:t>
      </w:r>
      <w:r w:rsidR="00BF376E">
        <w:t>I</w:t>
      </w:r>
      <w:r w:rsidR="00B77B1A">
        <w:t>tem</w:t>
      </w:r>
      <w:r w:rsidRPr="00D87C30">
        <w:t xml:space="preserve"> as follows:</w:t>
      </w:r>
    </w:p>
    <w:p w14:paraId="06C5E150" w14:textId="77777777" w:rsidR="00D87C30" w:rsidRPr="00D87C30" w:rsidRDefault="001366E8" w:rsidP="00D87C30">
      <w:pPr>
        <w:numPr>
          <w:ilvl w:val="0"/>
          <w:numId w:val="7"/>
        </w:numPr>
      </w:pPr>
      <w:r>
        <w:t>Click “Non-Catalog I</w:t>
      </w:r>
      <w:r w:rsidR="00D87C30" w:rsidRPr="00D87C30">
        <w:t>tem</w:t>
      </w:r>
      <w:r>
        <w:t>”</w:t>
      </w:r>
      <w:r w:rsidR="00D87C30" w:rsidRPr="00D87C30">
        <w:t xml:space="preserve"> from the </w:t>
      </w:r>
      <w:r w:rsidR="00D87C30">
        <w:t>Shortcuts</w:t>
      </w:r>
      <w:r w:rsidR="00D87C30" w:rsidRPr="00D87C30">
        <w:t xml:space="preserve"> options on the home page. </w:t>
      </w:r>
      <w:r w:rsidR="00D87C30" w:rsidRPr="00D87C30">
        <w:br/>
      </w:r>
      <w:r w:rsidR="00522703">
        <w:rPr>
          <w:noProof/>
        </w:rPr>
        <w:drawing>
          <wp:inline distT="0" distB="0" distL="0" distR="0" wp14:anchorId="6DF22760" wp14:editId="7DDD7C17">
            <wp:extent cx="5943600" cy="1005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7C30" w:rsidRPr="00D87C30">
        <w:br/>
        <w:t> </w:t>
      </w:r>
    </w:p>
    <w:p w14:paraId="70616571" w14:textId="77777777" w:rsidR="00BF376E" w:rsidRDefault="00BD39F6" w:rsidP="00BF376E">
      <w:pPr>
        <w:numPr>
          <w:ilvl w:val="0"/>
          <w:numId w:val="7"/>
        </w:numPr>
        <w:spacing w:after="0" w:line="240" w:lineRule="auto"/>
      </w:pPr>
      <w:r>
        <w:t>In the Non-Catalog Item pop-</w:t>
      </w:r>
      <w:r w:rsidR="00D87C30" w:rsidRPr="00D87C30">
        <w:t>up</w:t>
      </w:r>
      <w:r w:rsidR="001366E8">
        <w:t xml:space="preserve"> window</w:t>
      </w:r>
      <w:r w:rsidR="00D87C30" w:rsidRPr="00D87C30">
        <w:t>, enter the supplier by either typing the name and then selecting from the options or clicking supplier search</w:t>
      </w:r>
      <w:r w:rsidR="00D87C30">
        <w:t xml:space="preserve"> and selecting the supplier there. </w:t>
      </w:r>
    </w:p>
    <w:p w14:paraId="637DA6C5" w14:textId="77777777" w:rsidR="00BF376E" w:rsidRDefault="00BF376E" w:rsidP="00BF376E">
      <w:pPr>
        <w:numPr>
          <w:ilvl w:val="1"/>
          <w:numId w:val="7"/>
        </w:numPr>
        <w:spacing w:after="0" w:line="240" w:lineRule="auto"/>
      </w:pPr>
      <w:r>
        <w:t>If you are using State funds, you will most likely Select the supplier whose, correct, street address starts with the letter “S.”</w:t>
      </w:r>
    </w:p>
    <w:p w14:paraId="6673C42E" w14:textId="77777777" w:rsidR="00BF376E" w:rsidRPr="00D87C30" w:rsidRDefault="00D87C30" w:rsidP="00BF376E">
      <w:pPr>
        <w:numPr>
          <w:ilvl w:val="0"/>
          <w:numId w:val="7"/>
        </w:numPr>
        <w:spacing w:after="0" w:line="240" w:lineRule="auto"/>
      </w:pPr>
      <w:r>
        <w:t xml:space="preserve">If the supplier you wish to use cannot be found, you </w:t>
      </w:r>
      <w:r w:rsidRPr="00BF376E">
        <w:rPr>
          <w:u w:val="single"/>
        </w:rPr>
        <w:t>must</w:t>
      </w:r>
      <w:r>
        <w:t xml:space="preserve"> type and select New Supplier as the supplier.</w:t>
      </w:r>
    </w:p>
    <w:p w14:paraId="023A1924" w14:textId="77777777" w:rsidR="00D87C30" w:rsidRPr="00D87C30" w:rsidRDefault="00A65A87" w:rsidP="00CC139F">
      <w:pPr>
        <w:numPr>
          <w:ilvl w:val="0"/>
          <w:numId w:val="7"/>
        </w:numPr>
        <w:spacing w:after="0" w:line="240" w:lineRule="auto"/>
      </w:pPr>
      <w:r>
        <w:t>A default address Fulfillment Address (PO Address) will be listed. You may select a different fulfillment address if desired. Procurement Services will be reviewing and editing fulfillment addresses for these orders. Please note that addresses that start with an S are State addresses and addresses that s</w:t>
      </w:r>
      <w:r w:rsidR="006C1BDB">
        <w:t>tart with a 18</w:t>
      </w:r>
      <w:r>
        <w:t>0 are</w:t>
      </w:r>
      <w:r w:rsidR="00BF376E">
        <w:t xml:space="preserve"> most likely</w:t>
      </w:r>
      <w:r>
        <w:t xml:space="preserve"> Research Foundation (RF) addresses.</w:t>
      </w:r>
    </w:p>
    <w:p w14:paraId="09E33A4C" w14:textId="77777777" w:rsidR="00D87C30" w:rsidRPr="00D87C30" w:rsidRDefault="00D87C30" w:rsidP="00CC139F">
      <w:pPr>
        <w:numPr>
          <w:ilvl w:val="0"/>
          <w:numId w:val="7"/>
        </w:numPr>
        <w:spacing w:after="0" w:line="240" w:lineRule="auto"/>
      </w:pPr>
      <w:r w:rsidRPr="00D87C30">
        <w:t>Complete fields as follows:</w:t>
      </w:r>
    </w:p>
    <w:p w14:paraId="6D401C46" w14:textId="77777777" w:rsidR="00D87C30" w:rsidRDefault="00D87C30" w:rsidP="00CC139F">
      <w:pPr>
        <w:numPr>
          <w:ilvl w:val="1"/>
          <w:numId w:val="7"/>
        </w:numPr>
        <w:spacing w:after="0" w:line="240" w:lineRule="auto"/>
      </w:pPr>
      <w:r w:rsidRPr="00D87C30">
        <w:t xml:space="preserve">Product Description: enter </w:t>
      </w:r>
      <w:r w:rsidR="00A65A87">
        <w:t>a detailed product description of the goods or services</w:t>
      </w:r>
      <w:r w:rsidR="006B5DD3">
        <w:t>.</w:t>
      </w:r>
    </w:p>
    <w:p w14:paraId="4F898FC6" w14:textId="77777777" w:rsidR="00BF376E" w:rsidRPr="00D87C30" w:rsidRDefault="00BF376E" w:rsidP="00BF376E">
      <w:pPr>
        <w:numPr>
          <w:ilvl w:val="2"/>
          <w:numId w:val="7"/>
        </w:numPr>
        <w:spacing w:after="0" w:line="240" w:lineRule="auto"/>
      </w:pPr>
      <w:r>
        <w:t>Keep in mind, the descriptions you type, must be clear and descriptive.  The supplier, Fredonia, SUNY, and Office of State Comptroller will be reading the description you are typing.</w:t>
      </w:r>
    </w:p>
    <w:p w14:paraId="6B5D6E47" w14:textId="77777777" w:rsidR="00D87C30" w:rsidRPr="00D87C30" w:rsidRDefault="00A65A87" w:rsidP="00CC139F">
      <w:pPr>
        <w:numPr>
          <w:ilvl w:val="1"/>
          <w:numId w:val="7"/>
        </w:numPr>
        <w:spacing w:after="0" w:line="240" w:lineRule="auto"/>
      </w:pPr>
      <w:r>
        <w:t>Catalog No: enter catalog number,</w:t>
      </w:r>
      <w:r w:rsidR="00047DA2">
        <w:t xml:space="preserve"> if applicable</w:t>
      </w:r>
      <w:r w:rsidR="006B5DD3">
        <w:t>.</w:t>
      </w:r>
    </w:p>
    <w:p w14:paraId="7A5C8157" w14:textId="77777777" w:rsidR="00D87C30" w:rsidRPr="00D87C30" w:rsidRDefault="00D87C30" w:rsidP="00CC139F">
      <w:pPr>
        <w:numPr>
          <w:ilvl w:val="1"/>
          <w:numId w:val="7"/>
        </w:numPr>
        <w:spacing w:after="0" w:line="240" w:lineRule="auto"/>
      </w:pPr>
      <w:r w:rsidRPr="00D87C30">
        <w:t>Quantity: enter how many units</w:t>
      </w:r>
      <w:r w:rsidR="006B5DD3">
        <w:t>.</w:t>
      </w:r>
    </w:p>
    <w:p w14:paraId="49DAE802" w14:textId="77777777" w:rsidR="00D87C30" w:rsidRPr="00D87C30" w:rsidRDefault="00D87C30" w:rsidP="00CC139F">
      <w:pPr>
        <w:numPr>
          <w:ilvl w:val="1"/>
          <w:numId w:val="7"/>
        </w:numPr>
        <w:spacing w:after="0" w:line="240" w:lineRule="auto"/>
      </w:pPr>
      <w:r w:rsidRPr="00D87C30">
        <w:t>Price</w:t>
      </w:r>
      <w:r w:rsidR="006B5DD3">
        <w:t xml:space="preserve"> estimate: enter price estimate.</w:t>
      </w:r>
    </w:p>
    <w:p w14:paraId="6E0362E0" w14:textId="77777777" w:rsidR="00BF376E" w:rsidRDefault="00D87C30" w:rsidP="00CC139F">
      <w:pPr>
        <w:numPr>
          <w:ilvl w:val="1"/>
          <w:numId w:val="7"/>
        </w:numPr>
        <w:spacing w:after="0" w:line="240" w:lineRule="auto"/>
      </w:pPr>
      <w:r w:rsidRPr="00D87C30">
        <w:t>Packaging: enter unit of measure</w:t>
      </w:r>
      <w:r w:rsidR="006B5DD3">
        <w:t xml:space="preserve">. </w:t>
      </w:r>
    </w:p>
    <w:p w14:paraId="12F51687" w14:textId="77777777" w:rsidR="00D87C30" w:rsidRPr="00D87C30" w:rsidRDefault="006B5DD3" w:rsidP="00BF376E">
      <w:pPr>
        <w:numPr>
          <w:ilvl w:val="2"/>
          <w:numId w:val="7"/>
        </w:numPr>
        <w:spacing w:after="0" w:line="240" w:lineRule="auto"/>
      </w:pPr>
      <w:r w:rsidRPr="006B5DD3">
        <w:rPr>
          <w:b/>
        </w:rPr>
        <w:t>Please note:</w:t>
      </w:r>
      <w:r>
        <w:t xml:space="preserve"> If you are submitting an order for a service </w:t>
      </w:r>
      <w:r w:rsidR="00522703">
        <w:t xml:space="preserve">or an item that is a quantity of ONE that is cost (not quantity) driven, </w:t>
      </w:r>
      <w:r>
        <w:t xml:space="preserve">you </w:t>
      </w:r>
      <w:r w:rsidRPr="006B5DD3">
        <w:rPr>
          <w:u w:val="single"/>
        </w:rPr>
        <w:t>must</w:t>
      </w:r>
      <w:r>
        <w:t xml:space="preserve"> </w:t>
      </w:r>
      <w:r w:rsidRPr="006B5DD3">
        <w:t>select</w:t>
      </w:r>
      <w:r>
        <w:t xml:space="preserve"> USD as the unit of measure.</w:t>
      </w:r>
    </w:p>
    <w:p w14:paraId="5F6DE2ED" w14:textId="77777777" w:rsidR="00D87C30" w:rsidRPr="00D87C30" w:rsidRDefault="00A65A87" w:rsidP="00CC139F">
      <w:pPr>
        <w:numPr>
          <w:ilvl w:val="1"/>
          <w:numId w:val="7"/>
        </w:numPr>
        <w:spacing w:after="0" w:line="240" w:lineRule="auto"/>
      </w:pPr>
      <w:r>
        <w:t>C</w:t>
      </w:r>
      <w:r w:rsidR="00D87C30" w:rsidRPr="00D87C30">
        <w:t xml:space="preserve">heck </w:t>
      </w:r>
      <w:r>
        <w:t>boxes for</w:t>
      </w:r>
      <w:r w:rsidR="00D87C30" w:rsidRPr="00D87C30">
        <w:t xml:space="preserve"> any relevant features</w:t>
      </w:r>
      <w:r>
        <w:t>, if applicable</w:t>
      </w:r>
      <w:r w:rsidR="00D87C30" w:rsidRPr="00D87C30">
        <w:t xml:space="preserve"> (e.g., Recycled, </w:t>
      </w:r>
      <w:r w:rsidR="008615F0">
        <w:t>Hazardous Material, etc.) </w:t>
      </w:r>
      <w:r w:rsidR="00D87C30" w:rsidRPr="00D87C30">
        <w:t>  </w:t>
      </w:r>
    </w:p>
    <w:p w14:paraId="15A78C8B" w14:textId="77777777" w:rsidR="00D87C30" w:rsidRPr="00D87C30" w:rsidRDefault="00D87C30" w:rsidP="00CC139F">
      <w:pPr>
        <w:numPr>
          <w:ilvl w:val="0"/>
          <w:numId w:val="7"/>
        </w:numPr>
        <w:spacing w:after="0" w:line="240" w:lineRule="auto"/>
      </w:pPr>
      <w:r w:rsidRPr="00D87C30">
        <w:t xml:space="preserve">Click </w:t>
      </w:r>
      <w:r w:rsidR="001366E8">
        <w:t>“</w:t>
      </w:r>
      <w:r w:rsidRPr="00D87C30">
        <w:t>Save and Add Another </w:t>
      </w:r>
      <w:r w:rsidR="008615F0">
        <w:t>Line</w:t>
      </w:r>
      <w:r w:rsidR="001366E8">
        <w:t>”</w:t>
      </w:r>
      <w:r w:rsidR="008615F0">
        <w:t xml:space="preserve"> </w:t>
      </w:r>
      <w:r w:rsidRPr="00D87C30">
        <w:t xml:space="preserve">to add any additional items (up to a total of </w:t>
      </w:r>
      <w:r w:rsidR="00522703">
        <w:t>40</w:t>
      </w:r>
      <w:r w:rsidRPr="00D87C30">
        <w:t> items)</w:t>
      </w:r>
      <w:r w:rsidR="008615F0">
        <w:t>. Users must enter each separate item as a separate line (This includes any shipping costs, if applicable.).</w:t>
      </w:r>
      <w:r w:rsidRPr="00D87C30">
        <w:t> </w:t>
      </w:r>
    </w:p>
    <w:p w14:paraId="57C7804B" w14:textId="77777777" w:rsidR="00BF376E" w:rsidRDefault="00D87C30" w:rsidP="00CC139F">
      <w:pPr>
        <w:numPr>
          <w:ilvl w:val="0"/>
          <w:numId w:val="7"/>
        </w:numPr>
        <w:spacing w:after="0" w:line="240" w:lineRule="auto"/>
      </w:pPr>
      <w:r w:rsidRPr="00D87C30">
        <w:t>When finished adding items,</w:t>
      </w:r>
      <w:r w:rsidR="005D2019">
        <w:t xml:space="preserve"> click on </w:t>
      </w:r>
      <w:r w:rsidR="001366E8">
        <w:t>“</w:t>
      </w:r>
      <w:r w:rsidR="005D2019">
        <w:t>Add Internal Attachments</w:t>
      </w:r>
      <w:r w:rsidR="001366E8">
        <w:t>”</w:t>
      </w:r>
      <w:r w:rsidR="005D2019">
        <w:t xml:space="preserve"> and then click on </w:t>
      </w:r>
      <w:r w:rsidR="001366E8">
        <w:t>“</w:t>
      </w:r>
      <w:r w:rsidR="005D2019">
        <w:t>Select Files.</w:t>
      </w:r>
      <w:r w:rsidR="001366E8">
        <w:t>”</w:t>
      </w:r>
      <w:r w:rsidR="005D2019">
        <w:t xml:space="preserve"> You should </w:t>
      </w:r>
      <w:r w:rsidR="005E69E0">
        <w:t xml:space="preserve">select and attach </w:t>
      </w:r>
      <w:r w:rsidR="005D2019">
        <w:t xml:space="preserve">all necessary attachments </w:t>
      </w:r>
      <w:r w:rsidR="005E69E0">
        <w:t xml:space="preserve">(i.e. quotes, justifications, back-up documentation, etc.) and then click </w:t>
      </w:r>
      <w:r w:rsidR="001366E8">
        <w:t>“</w:t>
      </w:r>
      <w:r w:rsidR="005E69E0">
        <w:t>Done.</w:t>
      </w:r>
      <w:r w:rsidR="001366E8">
        <w:t>”</w:t>
      </w:r>
      <w:r w:rsidR="00522703">
        <w:t xml:space="preserve">  </w:t>
      </w:r>
    </w:p>
    <w:p w14:paraId="1B91A83F" w14:textId="77777777" w:rsidR="005E69E0" w:rsidRDefault="00522703" w:rsidP="00BF376E">
      <w:pPr>
        <w:numPr>
          <w:ilvl w:val="1"/>
          <w:numId w:val="7"/>
        </w:numPr>
        <w:spacing w:after="0" w:line="240" w:lineRule="auto"/>
      </w:pPr>
      <w:r w:rsidRPr="00522703">
        <w:rPr>
          <w:b/>
        </w:rPr>
        <w:t>Please note</w:t>
      </w:r>
      <w:r>
        <w:t>:  If attaching multiple quotes, please attach the “</w:t>
      </w:r>
      <w:r w:rsidR="0097657E">
        <w:t>winning</w:t>
      </w:r>
      <w:r>
        <w:t xml:space="preserve"> bidders” quote as a separate attachment and the “higher bidders”</w:t>
      </w:r>
      <w:r w:rsidR="0097657E">
        <w:t xml:space="preserve"> as a second attachment.  Please be sure to give your attachments an easy to understand name.</w:t>
      </w:r>
    </w:p>
    <w:p w14:paraId="3DF03B0D" w14:textId="77777777" w:rsidR="00D87C30" w:rsidRPr="00D87C30" w:rsidRDefault="005E69E0" w:rsidP="00CC139F">
      <w:pPr>
        <w:numPr>
          <w:ilvl w:val="0"/>
          <w:numId w:val="7"/>
        </w:numPr>
        <w:spacing w:after="0" w:line="240" w:lineRule="auto"/>
      </w:pPr>
      <w:r>
        <w:t>C</w:t>
      </w:r>
      <w:r w:rsidR="008615F0">
        <w:t xml:space="preserve">lick </w:t>
      </w:r>
      <w:r w:rsidR="001366E8">
        <w:t>“</w:t>
      </w:r>
      <w:r w:rsidR="008615F0">
        <w:t>Save and Close.</w:t>
      </w:r>
      <w:r w:rsidR="001366E8">
        <w:t>”</w:t>
      </w:r>
      <w:r w:rsidR="008615F0">
        <w:t> </w:t>
      </w:r>
      <w:r w:rsidR="00D87C30" w:rsidRPr="00D87C30">
        <w:t> </w:t>
      </w:r>
    </w:p>
    <w:p w14:paraId="4416241C" w14:textId="77777777" w:rsidR="00D87C30" w:rsidRDefault="008615F0" w:rsidP="00CC139F">
      <w:pPr>
        <w:numPr>
          <w:ilvl w:val="0"/>
          <w:numId w:val="7"/>
        </w:numPr>
        <w:spacing w:after="0" w:line="240" w:lineRule="auto"/>
      </w:pPr>
      <w:r>
        <w:t xml:space="preserve">Click the </w:t>
      </w:r>
      <w:r w:rsidR="001366E8">
        <w:t>“</w:t>
      </w:r>
      <w:r>
        <w:t>shopping cart </w:t>
      </w:r>
      <w:r w:rsidR="00D87C30" w:rsidRPr="00D87C30">
        <w:t>icon</w:t>
      </w:r>
      <w:r w:rsidR="001366E8">
        <w:t>”</w:t>
      </w:r>
      <w:r w:rsidR="00D87C30" w:rsidRPr="00D87C30">
        <w:t xml:space="preserve"> at the top </w:t>
      </w:r>
      <w:r w:rsidR="0097657E">
        <w:t xml:space="preserve">right-corner </w:t>
      </w:r>
      <w:r w:rsidR="00D87C30" w:rsidRPr="00D87C30">
        <w:t>of the page</w:t>
      </w:r>
      <w:r w:rsidR="0097657E">
        <w:t>.</w:t>
      </w:r>
      <w:r>
        <w:t> </w:t>
      </w:r>
    </w:p>
    <w:p w14:paraId="20741D77" w14:textId="77777777" w:rsidR="0097657E" w:rsidRPr="00D87C30" w:rsidRDefault="0097657E" w:rsidP="0097657E">
      <w:pPr>
        <w:spacing w:after="0" w:line="240" w:lineRule="auto"/>
        <w:ind w:left="720"/>
      </w:pPr>
      <w:r>
        <w:rPr>
          <w:noProof/>
        </w:rPr>
        <w:drawing>
          <wp:inline distT="0" distB="0" distL="0" distR="0" wp14:anchorId="34EE860D" wp14:editId="3D9978C4">
            <wp:extent cx="5943600" cy="48514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B2929" w14:textId="15CCE447" w:rsidR="008615F0" w:rsidRDefault="0097657E" w:rsidP="0097657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Click on “Checkout” to create a</w:t>
      </w:r>
      <w:r w:rsidR="00903E46">
        <w:t xml:space="preserve"> Draft</w:t>
      </w:r>
      <w:r>
        <w:t xml:space="preserve"> </w:t>
      </w:r>
      <w:r w:rsidR="00D03926">
        <w:t xml:space="preserve">Purchase </w:t>
      </w:r>
      <w:r>
        <w:t xml:space="preserve">Requisition.  </w:t>
      </w:r>
    </w:p>
    <w:p w14:paraId="47CA8CC4" w14:textId="465927E0" w:rsidR="0097657E" w:rsidRDefault="0097657E" w:rsidP="000A2562">
      <w:pPr>
        <w:pStyle w:val="ListParagraph"/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43BABB17" wp14:editId="6DA82A8F">
            <wp:extent cx="5943600" cy="118745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57E" w:rsidSect="00E21762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4D92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3175-FA57-4F04-A2DB-A616EE3D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2021-03-07T19:49:00Z</dcterms:created>
  <dcterms:modified xsi:type="dcterms:W3CDTF">2021-03-08T00:12:00Z</dcterms:modified>
</cp:coreProperties>
</file>