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3483A" w14:textId="37D1F8DA" w:rsidR="00DF6B6B" w:rsidRDefault="00DF6B6B" w:rsidP="00DF6B6B">
      <w:pPr>
        <w:spacing w:after="0" w:line="240" w:lineRule="auto"/>
      </w:pPr>
      <w:r w:rsidRPr="00DF6B6B">
        <w:rPr>
          <w:b/>
          <w:sz w:val="28"/>
          <w:szCs w:val="28"/>
        </w:rPr>
        <w:t>Ordering for Another Departmen</w:t>
      </w:r>
      <w:r>
        <w:rPr>
          <w:b/>
          <w:sz w:val="28"/>
          <w:szCs w:val="28"/>
        </w:rPr>
        <w:t>t/Altering Approval Workflow using “Prepared for”</w:t>
      </w:r>
    </w:p>
    <w:p w14:paraId="762EB712" w14:textId="77777777" w:rsidR="00DF6B6B" w:rsidRDefault="00DF6B6B" w:rsidP="00DF6B6B">
      <w:pPr>
        <w:spacing w:after="0" w:line="240" w:lineRule="auto"/>
      </w:pPr>
    </w:p>
    <w:p w14:paraId="1723A66A" w14:textId="2EB21657" w:rsidR="00DF6B6B" w:rsidRDefault="00DF6B6B" w:rsidP="00DF6B6B">
      <w:pPr>
        <w:spacing w:after="0" w:line="240" w:lineRule="auto"/>
      </w:pPr>
      <w:r>
        <w:t xml:space="preserve">A “basic” feature to know about Jaggaer is that the </w:t>
      </w:r>
      <w:r w:rsidRPr="00D33D63">
        <w:rPr>
          <w:i/>
        </w:rPr>
        <w:t>Approval Workflow</w:t>
      </w:r>
      <w:r>
        <w:t xml:space="preserve"> occurs automatically based on the Requisitioner’s Department (users can find their department under View My Profile).  An “advanced” feature is using the “Prepared For” field on the Requisition to route the </w:t>
      </w:r>
      <w:r w:rsidRPr="00D33D63">
        <w:rPr>
          <w:i/>
        </w:rPr>
        <w:t>Approval Workflow</w:t>
      </w:r>
      <w:r>
        <w:t xml:space="preserve"> to the correct Dean or VP for approval.   </w:t>
      </w:r>
    </w:p>
    <w:p w14:paraId="4DB3FAE9" w14:textId="77777777" w:rsidR="00DF6B6B" w:rsidRDefault="00DF6B6B" w:rsidP="00DF6B6B">
      <w:pPr>
        <w:spacing w:after="0" w:line="240" w:lineRule="auto"/>
      </w:pPr>
    </w:p>
    <w:p w14:paraId="0CADA4A6" w14:textId="77777777" w:rsidR="00DF6B6B" w:rsidRDefault="00DF6B6B" w:rsidP="00DF6B6B">
      <w:pPr>
        <w:spacing w:after="0" w:line="240" w:lineRule="auto"/>
      </w:pPr>
      <w:r>
        <w:t>The “Prepared For” field will be extremely useful, in particular, to Office Assistants who place orders for multiple departments.</w:t>
      </w:r>
    </w:p>
    <w:p w14:paraId="7C922C46" w14:textId="77777777" w:rsidR="00DF6B6B" w:rsidRDefault="00DF6B6B" w:rsidP="00DF6B6B">
      <w:pPr>
        <w:spacing w:after="0" w:line="240" w:lineRule="auto"/>
      </w:pPr>
    </w:p>
    <w:p w14:paraId="0EB96D92" w14:textId="77777777" w:rsidR="00DF6B6B" w:rsidRDefault="00DF6B6B" w:rsidP="00DF6B6B">
      <w:pPr>
        <w:spacing w:after="0" w:line="240" w:lineRule="auto"/>
      </w:pPr>
      <w:r>
        <w:t xml:space="preserve">After Checkout the requisitioner is brought to the Draft Requisition (the coding/review stage).  On the left-hand side, under the </w:t>
      </w:r>
      <w:r w:rsidRPr="00DD6401">
        <w:rPr>
          <w:b/>
        </w:rPr>
        <w:t>General</w:t>
      </w:r>
      <w:r>
        <w:t xml:space="preserve"> section the Prepared For field will default to the user’s profile.</w:t>
      </w:r>
    </w:p>
    <w:p w14:paraId="7AAD427E" w14:textId="77777777" w:rsidR="00DF6B6B" w:rsidRDefault="00DF6B6B" w:rsidP="00DF6B6B">
      <w:pPr>
        <w:spacing w:after="0" w:line="240" w:lineRule="auto"/>
      </w:pPr>
      <w:r>
        <w:rPr>
          <w:noProof/>
        </w:rPr>
        <w:drawing>
          <wp:inline distT="0" distB="0" distL="0" distR="0" wp14:anchorId="25A497BF" wp14:editId="365E343B">
            <wp:extent cx="6858000" cy="200914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2009140"/>
                    </a:xfrm>
                    <a:prstGeom prst="rect">
                      <a:avLst/>
                    </a:prstGeom>
                  </pic:spPr>
                </pic:pic>
              </a:graphicData>
            </a:graphic>
          </wp:inline>
        </w:drawing>
      </w:r>
    </w:p>
    <w:p w14:paraId="63DCCE69" w14:textId="77777777" w:rsidR="00DF6B6B" w:rsidRDefault="00DF6B6B" w:rsidP="00DF6B6B">
      <w:pPr>
        <w:spacing w:after="0" w:line="240" w:lineRule="auto"/>
      </w:pPr>
    </w:p>
    <w:p w14:paraId="28E78F0D" w14:textId="77777777" w:rsidR="00DF6B6B" w:rsidRDefault="00DF6B6B" w:rsidP="00DF6B6B">
      <w:pPr>
        <w:spacing w:after="0" w:line="240" w:lineRule="auto"/>
      </w:pPr>
      <w:r>
        <w:t xml:space="preserve">In this example I am preparing my requisition for a department in the Liberal Arts &amp; Science Division.  Because my department is Accounts Payable, if I did not change the Prepared For field, my requisition would be automatically forwarded to the VP of Finance and Administration.   Users can see the Approval Workflow on the right-hand side.    Before I change </w:t>
      </w:r>
    </w:p>
    <w:p w14:paraId="5667B7B1" w14:textId="77777777" w:rsidR="00DF6B6B" w:rsidRDefault="00DF6B6B" w:rsidP="00DF6B6B">
      <w:pPr>
        <w:spacing w:after="0" w:line="240" w:lineRule="auto"/>
      </w:pPr>
      <w:r>
        <w:rPr>
          <w:noProof/>
        </w:rPr>
        <w:drawing>
          <wp:inline distT="0" distB="0" distL="0" distR="0" wp14:anchorId="57069DF7" wp14:editId="33E6E11A">
            <wp:extent cx="6858000" cy="238887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0" cy="2388870"/>
                    </a:xfrm>
                    <a:prstGeom prst="rect">
                      <a:avLst/>
                    </a:prstGeom>
                  </pic:spPr>
                </pic:pic>
              </a:graphicData>
            </a:graphic>
          </wp:inline>
        </w:drawing>
      </w:r>
      <w:r>
        <w:t xml:space="preserve">   </w:t>
      </w:r>
    </w:p>
    <w:p w14:paraId="63FEF690" w14:textId="77777777" w:rsidR="00DF6B6B" w:rsidRDefault="00DF6B6B" w:rsidP="00DF6B6B">
      <w:pPr>
        <w:spacing w:after="0" w:line="240" w:lineRule="auto"/>
      </w:pPr>
    </w:p>
    <w:p w14:paraId="4745D66B" w14:textId="77777777" w:rsidR="00DF6B6B" w:rsidRDefault="00DF6B6B" w:rsidP="00DF6B6B">
      <w:pPr>
        <w:spacing w:after="0" w:line="240" w:lineRule="auto"/>
      </w:pPr>
      <w:r>
        <w:t xml:space="preserve">I need this requisition to be approved by the Dean of LA&amp;S and subsequently the VP of Academics Affairs, so I will change the Prepared For field.  Requisitioner will click on the pencil icon in the </w:t>
      </w:r>
      <w:r w:rsidRPr="00DD6401">
        <w:rPr>
          <w:b/>
        </w:rPr>
        <w:t>General</w:t>
      </w:r>
      <w:r>
        <w:t xml:space="preserve"> section and change the Prepared For name to the appropriate name (only one name can be selected).  For this example, I need to search for either one of the two Administrative/Office Assistants in the LA&amp;S Dean’s office.</w:t>
      </w:r>
    </w:p>
    <w:p w14:paraId="5D3F941F" w14:textId="77777777" w:rsidR="00DF6B6B" w:rsidRDefault="00DF6B6B" w:rsidP="00DF6B6B">
      <w:pPr>
        <w:spacing w:after="0" w:line="240" w:lineRule="auto"/>
      </w:pPr>
      <w:r>
        <w:rPr>
          <w:noProof/>
        </w:rPr>
        <w:lastRenderedPageBreak/>
        <w:drawing>
          <wp:inline distT="0" distB="0" distL="0" distR="0" wp14:anchorId="3B566A27" wp14:editId="7D332D7C">
            <wp:extent cx="6858000" cy="360172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3601720"/>
                    </a:xfrm>
                    <a:prstGeom prst="rect">
                      <a:avLst/>
                    </a:prstGeom>
                  </pic:spPr>
                </pic:pic>
              </a:graphicData>
            </a:graphic>
          </wp:inline>
        </w:drawing>
      </w:r>
    </w:p>
    <w:p w14:paraId="6B224D83" w14:textId="77777777" w:rsidR="00DF6B6B" w:rsidRDefault="00DF6B6B" w:rsidP="00DF6B6B">
      <w:pPr>
        <w:spacing w:after="0" w:line="240" w:lineRule="auto"/>
      </w:pPr>
    </w:p>
    <w:p w14:paraId="1E049C25" w14:textId="77777777" w:rsidR="00DF6B6B" w:rsidRDefault="00DF6B6B" w:rsidP="00DF6B6B">
      <w:pPr>
        <w:spacing w:after="0" w:line="240" w:lineRule="auto"/>
      </w:pPr>
      <w:r>
        <w:t>After clicking Save Changes, the Draft Requisition will require the requisitioner to edit (using the pencil icons) both the Shipping and Billing addresses.</w:t>
      </w:r>
    </w:p>
    <w:p w14:paraId="31E6ED2B" w14:textId="77777777" w:rsidR="00DF6B6B" w:rsidRDefault="00DF6B6B" w:rsidP="00DF6B6B">
      <w:pPr>
        <w:spacing w:after="0" w:line="240" w:lineRule="auto"/>
      </w:pPr>
    </w:p>
    <w:p w14:paraId="0325472B" w14:textId="77777777" w:rsidR="00DF6B6B" w:rsidRDefault="00DF6B6B" w:rsidP="00DF6B6B">
      <w:pPr>
        <w:spacing w:after="0" w:line="240" w:lineRule="auto"/>
      </w:pPr>
      <w:r>
        <w:rPr>
          <w:noProof/>
        </w:rPr>
        <mc:AlternateContent>
          <mc:Choice Requires="wps">
            <w:drawing>
              <wp:anchor distT="0" distB="0" distL="114300" distR="114300" simplePos="0" relativeHeight="251665408" behindDoc="0" locked="0" layoutInCell="1" allowOverlap="1" wp14:anchorId="2F64EDA7" wp14:editId="4DFDE008">
                <wp:simplePos x="0" y="0"/>
                <wp:positionH relativeFrom="column">
                  <wp:posOffset>4878746</wp:posOffset>
                </wp:positionH>
                <wp:positionV relativeFrom="paragraph">
                  <wp:posOffset>2592994</wp:posOffset>
                </wp:positionV>
                <wp:extent cx="556591" cy="815009"/>
                <wp:effectExtent l="23177" t="53023" r="0" b="95567"/>
                <wp:wrapNone/>
                <wp:docPr id="214" name="Arrow: Down 214"/>
                <wp:cNvGraphicFramePr/>
                <a:graphic xmlns:a="http://schemas.openxmlformats.org/drawingml/2006/main">
                  <a:graphicData uri="http://schemas.microsoft.com/office/word/2010/wordprocessingShape">
                    <wps:wsp>
                      <wps:cNvSpPr/>
                      <wps:spPr>
                        <a:xfrm rot="14156907">
                          <a:off x="0" y="0"/>
                          <a:ext cx="556591" cy="815009"/>
                        </a:xfrm>
                        <a:prstGeom prst="downArrow">
                          <a:avLst/>
                        </a:prstGeom>
                        <a:solidFill>
                          <a:schemeClr val="accent1">
                            <a:alpha val="16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56A3D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14" o:spid="_x0000_s1026" type="#_x0000_t67" style="position:absolute;margin-left:384.15pt;margin-top:204.15pt;width:43.85pt;height:64.15pt;rotation:-8129842fd;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eXngIAAKwFAAAOAAAAZHJzL2Uyb0RvYy54bWysVE1v2zAMvQ/YfxB0X20HSdoEdYqgRYcB&#10;RVesHXpWZak2IIsapcTJfv0o2XGDfuww7CKQEvlIPpE8v9i1hm0V+gZsyYuTnDNlJVSNfS75z4fr&#10;L2ec+SBsJQxYVfK98vxi9fnTeeeWagI1mEohIxDrl50reR2CW2aZl7VqhT8Bpyw9asBWBFLxOatQ&#10;dITemmyS5/OsA6wcglTe0+1V/8hXCV9rJcN3rb0KzJSccgvpxHQ+xTNbnYvlMwpXN3JIQ/xDFq1o&#10;LAUdoa5EEGyDzRuotpEIHnQ4kdBmoHUjVaqBqinyV9Xc18KpVAuR491Ik/9/sPJ2e4esqUo+Kaac&#10;WdHSJ60RoVuyK+gsi9dEUuf8kmzv3R0OmicxVrzT2DIEYraYFrP5Ij9NRFBpbJd43o88q11gki5n&#10;s/lsUXAm6emsmOX5IobIeqyI6dCHrwpaFoWSV5RIyikhi+2ND739wS76eDBNdd0Yk5TYP+rSINsK&#10;+nkhpbKh6N2Nq0V/XczzPLUAhU4dFz1SIkdgWSy9LzZJYW9UDGHsD6WJOapnkoBHhLcxfS0q1V9T&#10;tR/ETIARWVMRI3af9AfYPQuDfXRVqeVH5/xvifXOo0eKDDaMzm1jAd8DMMTkELm3J8qOqIniE1R7&#10;6qvUFjR23snrhr7yRvhwJ5AmjC5pa4TvdGgDXclhkDirAX+/dx/tqfHplbOOJrbk/tdGoOLMfLM0&#10;EotiOo0jnpTp7HRCCh6/PB2/2E17CdQa1IaUXRKjfTAHUSO0j7Rc1jEqPQkrKXbJZcCDchn6TULr&#10;Sar1OpnRWDsRbuy9kxE8shq79GH3KNAN/RxoEG7hMN1i+aqje9voaWG9CaCb1O4vvA5800pIzTqs&#10;r7hzjvVk9bJkV38AAAD//wMAUEsDBBQABgAIAAAAIQBEWV4o3wAAAAsBAAAPAAAAZHJzL2Rvd25y&#10;ZXYueG1sTI/BTsMwEETvSPyDtUjcqNO0Ta0Qp0IgLqgXSsXZjbdJhL0Osdumf89ygtusZjT7ptpM&#10;3okzjrEPpGE+y0AgNcH21GrYf7w+KBAxGbLGBUINV4ywqW9vKlPacKF3PO9SK7iEYmk0dCkNpZSx&#10;6dCbOAsDEnvHMHqT+BxbaUdz4XLvZJ5lhfSmJ/7QmQGfO2y+dievAd1blh+/P1+c26K6LnyWVtu9&#10;1vd309MjiIRT+gvDLz6jQ81Mh3AiG4XTsF4q3pI0LHNVgOCEWhcLEAcNqzkLWVfy/4b6BwAA//8D&#10;AFBLAQItABQABgAIAAAAIQC2gziS/gAAAOEBAAATAAAAAAAAAAAAAAAAAAAAAABbQ29udGVudF9U&#10;eXBlc10ueG1sUEsBAi0AFAAGAAgAAAAhADj9If/WAAAAlAEAAAsAAAAAAAAAAAAAAAAALwEAAF9y&#10;ZWxzLy5yZWxzUEsBAi0AFAAGAAgAAAAhAKxb55eeAgAArAUAAA4AAAAAAAAAAAAAAAAALgIAAGRy&#10;cy9lMm9Eb2MueG1sUEsBAi0AFAAGAAgAAAAhAERZXijfAAAACwEAAA8AAAAAAAAAAAAAAAAA+AQA&#10;AGRycy9kb3ducmV2LnhtbFBLBQYAAAAABAAEAPMAAAAEBgAAAAA=&#10;" adj="14224" fillcolor="#5b9bd5 [3204]" strokecolor="#1f4d78 [1604]" strokeweight="1pt">
                <v:fill opacity="10537f"/>
              </v:shape>
            </w:pict>
          </mc:Fallback>
        </mc:AlternateContent>
      </w:r>
      <w:r>
        <w:rPr>
          <w:noProof/>
        </w:rPr>
        <w:drawing>
          <wp:inline distT="0" distB="0" distL="0" distR="0" wp14:anchorId="1F886DDF" wp14:editId="4FEBCB1E">
            <wp:extent cx="6858000" cy="2821305"/>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2821305"/>
                    </a:xfrm>
                    <a:prstGeom prst="rect">
                      <a:avLst/>
                    </a:prstGeom>
                  </pic:spPr>
                </pic:pic>
              </a:graphicData>
            </a:graphic>
          </wp:inline>
        </w:drawing>
      </w:r>
    </w:p>
    <w:p w14:paraId="4827E71B" w14:textId="77777777" w:rsidR="00DF6B6B" w:rsidRDefault="00DF6B6B" w:rsidP="00DF6B6B">
      <w:pPr>
        <w:spacing w:after="0" w:line="240" w:lineRule="auto"/>
      </w:pPr>
    </w:p>
    <w:p w14:paraId="3DD9D047" w14:textId="77777777" w:rsidR="00DF6B6B" w:rsidRDefault="00DF6B6B" w:rsidP="00DF6B6B">
      <w:pPr>
        <w:spacing w:after="0" w:line="240" w:lineRule="auto"/>
      </w:pPr>
      <w:r>
        <w:t>BEFORE the requisitioner clicks on Place Order, the requisitioner should review the Approval Workflow (on the right-hand side) to confirm that their requisition will be routed to the correct approvers.</w:t>
      </w:r>
    </w:p>
    <w:p w14:paraId="6817F9A0" w14:textId="77777777" w:rsidR="00DF6B6B" w:rsidRDefault="00DF6B6B" w:rsidP="00DF6B6B">
      <w:pPr>
        <w:spacing w:after="0" w:line="240" w:lineRule="auto"/>
      </w:pPr>
    </w:p>
    <w:p w14:paraId="7AD0540D" w14:textId="77777777" w:rsidR="00DF6B6B" w:rsidRDefault="00DF6B6B" w:rsidP="00DF6B6B">
      <w:pPr>
        <w:spacing w:after="0" w:line="240" w:lineRule="auto"/>
      </w:pPr>
      <w:r>
        <w:rPr>
          <w:noProof/>
        </w:rPr>
        <w:lastRenderedPageBreak/>
        <w:drawing>
          <wp:inline distT="0" distB="0" distL="0" distR="0" wp14:anchorId="23DC2633" wp14:editId="4FB2465F">
            <wp:extent cx="6858000" cy="120523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000" cy="1205230"/>
                    </a:xfrm>
                    <a:prstGeom prst="rect">
                      <a:avLst/>
                    </a:prstGeom>
                  </pic:spPr>
                </pic:pic>
              </a:graphicData>
            </a:graphic>
          </wp:inline>
        </w:drawing>
      </w:r>
      <w:bookmarkStart w:id="0" w:name="_GoBack"/>
      <w:bookmarkEnd w:id="0"/>
    </w:p>
    <w:sectPr w:rsidR="00DF6B6B" w:rsidSect="00E21762">
      <w:footerReference w:type="default" r:id="rId13"/>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2BEF8" w14:textId="77777777" w:rsidR="00FA6A7D" w:rsidRDefault="00FA6A7D" w:rsidP="00984696">
      <w:pPr>
        <w:spacing w:after="0" w:line="240" w:lineRule="auto"/>
      </w:pPr>
      <w:r>
        <w:separator/>
      </w:r>
    </w:p>
  </w:endnote>
  <w:endnote w:type="continuationSeparator" w:id="0">
    <w:p w14:paraId="403C7356" w14:textId="77777777" w:rsidR="00FA6A7D" w:rsidRDefault="00FA6A7D" w:rsidP="00984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7F088" w14:textId="77777777" w:rsidR="00FA6A7D" w:rsidRDefault="00FA6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A52C9" w14:textId="77777777" w:rsidR="00FA6A7D" w:rsidRDefault="00FA6A7D" w:rsidP="00984696">
      <w:pPr>
        <w:spacing w:after="0" w:line="240" w:lineRule="auto"/>
      </w:pPr>
      <w:r>
        <w:separator/>
      </w:r>
    </w:p>
  </w:footnote>
  <w:footnote w:type="continuationSeparator" w:id="0">
    <w:p w14:paraId="44B6205C" w14:textId="77777777" w:rsidR="00FA6A7D" w:rsidRDefault="00FA6A7D" w:rsidP="009846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50206"/>
    <w:multiLevelType w:val="hybridMultilevel"/>
    <w:tmpl w:val="9AA8A36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8F70FF5"/>
    <w:multiLevelType w:val="hybridMultilevel"/>
    <w:tmpl w:val="6E1A7BCA"/>
    <w:lvl w:ilvl="0" w:tplc="83EA1AC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506FD"/>
    <w:multiLevelType w:val="multilevel"/>
    <w:tmpl w:val="4F0A991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0A5676"/>
    <w:multiLevelType w:val="hybridMultilevel"/>
    <w:tmpl w:val="80C21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367EF"/>
    <w:multiLevelType w:val="multilevel"/>
    <w:tmpl w:val="16CE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687D39"/>
    <w:multiLevelType w:val="hybridMultilevel"/>
    <w:tmpl w:val="7A74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C4B38"/>
    <w:multiLevelType w:val="multilevel"/>
    <w:tmpl w:val="AB58E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811439"/>
    <w:multiLevelType w:val="hybridMultilevel"/>
    <w:tmpl w:val="2362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31BEF"/>
    <w:multiLevelType w:val="hybridMultilevel"/>
    <w:tmpl w:val="162A8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52A41"/>
    <w:multiLevelType w:val="hybridMultilevel"/>
    <w:tmpl w:val="678CF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13FF1"/>
    <w:multiLevelType w:val="hybridMultilevel"/>
    <w:tmpl w:val="46221872"/>
    <w:lvl w:ilvl="0" w:tplc="5054FC7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E17B40"/>
    <w:multiLevelType w:val="hybridMultilevel"/>
    <w:tmpl w:val="4CE4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F0287"/>
    <w:multiLevelType w:val="hybridMultilevel"/>
    <w:tmpl w:val="42DEB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D6631"/>
    <w:multiLevelType w:val="hybridMultilevel"/>
    <w:tmpl w:val="991AFA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E965EC"/>
    <w:multiLevelType w:val="hybridMultilevel"/>
    <w:tmpl w:val="9D4A95D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B4328D"/>
    <w:multiLevelType w:val="hybridMultilevel"/>
    <w:tmpl w:val="162A8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E95B1D"/>
    <w:multiLevelType w:val="multilevel"/>
    <w:tmpl w:val="AE104398"/>
    <w:lvl w:ilvl="0">
      <w:start w:val="1"/>
      <w:numFmt w:val="decimal"/>
      <w:lvlText w:val="%1."/>
      <w:lvlJc w:val="left"/>
      <w:pPr>
        <w:tabs>
          <w:tab w:val="num" w:pos="1080"/>
        </w:tabs>
        <w:ind w:left="1080" w:hanging="360"/>
      </w:pPr>
      <w:rPr>
        <w:rFonts w:hint="default"/>
        <w:b w:val="0"/>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7" w15:restartNumberingAfterBreak="0">
    <w:nsid w:val="41603116"/>
    <w:multiLevelType w:val="hybridMultilevel"/>
    <w:tmpl w:val="BAA8595E"/>
    <w:lvl w:ilvl="0" w:tplc="0409000F">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E348F8"/>
    <w:multiLevelType w:val="hybridMultilevel"/>
    <w:tmpl w:val="9D0AF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A70F7"/>
    <w:multiLevelType w:val="hybridMultilevel"/>
    <w:tmpl w:val="E2346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A363D9"/>
    <w:multiLevelType w:val="multilevel"/>
    <w:tmpl w:val="84A88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1D17C2"/>
    <w:multiLevelType w:val="hybridMultilevel"/>
    <w:tmpl w:val="7B6E9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E41CC6"/>
    <w:multiLevelType w:val="hybridMultilevel"/>
    <w:tmpl w:val="8646B5EE"/>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0E219C"/>
    <w:multiLevelType w:val="hybridMultilevel"/>
    <w:tmpl w:val="38B607CA"/>
    <w:lvl w:ilvl="0" w:tplc="579C6A2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9655C1"/>
    <w:multiLevelType w:val="hybridMultilevel"/>
    <w:tmpl w:val="CB4467CA"/>
    <w:lvl w:ilvl="0" w:tplc="B626768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1071A9E"/>
    <w:multiLevelType w:val="hybridMultilevel"/>
    <w:tmpl w:val="193A0C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4415D0"/>
    <w:multiLevelType w:val="hybridMultilevel"/>
    <w:tmpl w:val="10642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645566"/>
    <w:multiLevelType w:val="multilevel"/>
    <w:tmpl w:val="4F0A991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2D3DC4"/>
    <w:multiLevelType w:val="hybridMultilevel"/>
    <w:tmpl w:val="00C86038"/>
    <w:lvl w:ilvl="0" w:tplc="10C4AE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8A0520"/>
    <w:multiLevelType w:val="hybridMultilevel"/>
    <w:tmpl w:val="AAD0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3A25C7"/>
    <w:multiLevelType w:val="hybridMultilevel"/>
    <w:tmpl w:val="42DEB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0D0EEF"/>
    <w:multiLevelType w:val="multilevel"/>
    <w:tmpl w:val="172A2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233D88"/>
    <w:multiLevelType w:val="multilevel"/>
    <w:tmpl w:val="AB58E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8062BE"/>
    <w:multiLevelType w:val="hybridMultilevel"/>
    <w:tmpl w:val="CFB298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3235B9"/>
    <w:multiLevelType w:val="multilevel"/>
    <w:tmpl w:val="67F6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1"/>
  </w:num>
  <w:num w:numId="4">
    <w:abstractNumId w:val="13"/>
  </w:num>
  <w:num w:numId="5">
    <w:abstractNumId w:val="14"/>
  </w:num>
  <w:num w:numId="6">
    <w:abstractNumId w:val="32"/>
  </w:num>
  <w:num w:numId="7">
    <w:abstractNumId w:val="2"/>
  </w:num>
  <w:num w:numId="8">
    <w:abstractNumId w:val="20"/>
  </w:num>
  <w:num w:numId="9">
    <w:abstractNumId w:val="27"/>
  </w:num>
  <w:num w:numId="10">
    <w:abstractNumId w:val="21"/>
  </w:num>
  <w:num w:numId="11">
    <w:abstractNumId w:val="30"/>
  </w:num>
  <w:num w:numId="12">
    <w:abstractNumId w:val="12"/>
  </w:num>
  <w:num w:numId="13">
    <w:abstractNumId w:val="11"/>
  </w:num>
  <w:num w:numId="14">
    <w:abstractNumId w:val="19"/>
  </w:num>
  <w:num w:numId="15">
    <w:abstractNumId w:val="23"/>
  </w:num>
  <w:num w:numId="16">
    <w:abstractNumId w:val="17"/>
  </w:num>
  <w:num w:numId="17">
    <w:abstractNumId w:val="0"/>
  </w:num>
  <w:num w:numId="18">
    <w:abstractNumId w:val="16"/>
  </w:num>
  <w:num w:numId="19">
    <w:abstractNumId w:val="6"/>
  </w:num>
  <w:num w:numId="20">
    <w:abstractNumId w:val="10"/>
  </w:num>
  <w:num w:numId="21">
    <w:abstractNumId w:val="9"/>
  </w:num>
  <w:num w:numId="22">
    <w:abstractNumId w:val="15"/>
  </w:num>
  <w:num w:numId="23">
    <w:abstractNumId w:val="33"/>
  </w:num>
  <w:num w:numId="24">
    <w:abstractNumId w:val="26"/>
  </w:num>
  <w:num w:numId="25">
    <w:abstractNumId w:val="4"/>
  </w:num>
  <w:num w:numId="26">
    <w:abstractNumId w:val="31"/>
  </w:num>
  <w:num w:numId="27">
    <w:abstractNumId w:val="34"/>
  </w:num>
  <w:num w:numId="28">
    <w:abstractNumId w:val="7"/>
  </w:num>
  <w:num w:numId="29">
    <w:abstractNumId w:val="8"/>
  </w:num>
  <w:num w:numId="30">
    <w:abstractNumId w:val="3"/>
  </w:num>
  <w:num w:numId="31">
    <w:abstractNumId w:val="25"/>
  </w:num>
  <w:num w:numId="32">
    <w:abstractNumId w:val="22"/>
  </w:num>
  <w:num w:numId="33">
    <w:abstractNumId w:val="5"/>
  </w:num>
  <w:num w:numId="34">
    <w:abstractNumId w:val="2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E00"/>
    <w:rsid w:val="0000559D"/>
    <w:rsid w:val="00022007"/>
    <w:rsid w:val="00026B25"/>
    <w:rsid w:val="00047DA2"/>
    <w:rsid w:val="0005141E"/>
    <w:rsid w:val="0005621D"/>
    <w:rsid w:val="00056517"/>
    <w:rsid w:val="00056743"/>
    <w:rsid w:val="00066AC7"/>
    <w:rsid w:val="00075FEC"/>
    <w:rsid w:val="00081CC1"/>
    <w:rsid w:val="000A2562"/>
    <w:rsid w:val="000A7E84"/>
    <w:rsid w:val="000B015E"/>
    <w:rsid w:val="000B103D"/>
    <w:rsid w:val="000B2415"/>
    <w:rsid w:val="000B2967"/>
    <w:rsid w:val="000B53B3"/>
    <w:rsid w:val="000B5EFF"/>
    <w:rsid w:val="000B7E84"/>
    <w:rsid w:val="000C5CED"/>
    <w:rsid w:val="000D146F"/>
    <w:rsid w:val="000D54D4"/>
    <w:rsid w:val="000D6874"/>
    <w:rsid w:val="000E10CD"/>
    <w:rsid w:val="000F17CF"/>
    <w:rsid w:val="001037D5"/>
    <w:rsid w:val="001047AB"/>
    <w:rsid w:val="00104D54"/>
    <w:rsid w:val="00111A4A"/>
    <w:rsid w:val="00116CB1"/>
    <w:rsid w:val="001171DA"/>
    <w:rsid w:val="0012083B"/>
    <w:rsid w:val="00123FB5"/>
    <w:rsid w:val="00124C07"/>
    <w:rsid w:val="00133746"/>
    <w:rsid w:val="001366E8"/>
    <w:rsid w:val="0014574C"/>
    <w:rsid w:val="001541DD"/>
    <w:rsid w:val="0016211F"/>
    <w:rsid w:val="0017310B"/>
    <w:rsid w:val="0018492D"/>
    <w:rsid w:val="00196F01"/>
    <w:rsid w:val="001B6266"/>
    <w:rsid w:val="001B652A"/>
    <w:rsid w:val="001C2AC2"/>
    <w:rsid w:val="001D25C4"/>
    <w:rsid w:val="001F5D28"/>
    <w:rsid w:val="001F7836"/>
    <w:rsid w:val="002006AB"/>
    <w:rsid w:val="002164FD"/>
    <w:rsid w:val="0023017E"/>
    <w:rsid w:val="00264529"/>
    <w:rsid w:val="0026527B"/>
    <w:rsid w:val="00273C20"/>
    <w:rsid w:val="002963A2"/>
    <w:rsid w:val="002A1B37"/>
    <w:rsid w:val="002A1ED4"/>
    <w:rsid w:val="002A6397"/>
    <w:rsid w:val="002B0DEF"/>
    <w:rsid w:val="002B1345"/>
    <w:rsid w:val="002B1712"/>
    <w:rsid w:val="002B1CC1"/>
    <w:rsid w:val="002B2CE4"/>
    <w:rsid w:val="002B3AEF"/>
    <w:rsid w:val="002B49F2"/>
    <w:rsid w:val="002B4D92"/>
    <w:rsid w:val="002C5F92"/>
    <w:rsid w:val="002C6390"/>
    <w:rsid w:val="002D7271"/>
    <w:rsid w:val="002D79E5"/>
    <w:rsid w:val="002F3E06"/>
    <w:rsid w:val="002F561C"/>
    <w:rsid w:val="003040ED"/>
    <w:rsid w:val="00305ECD"/>
    <w:rsid w:val="00306F82"/>
    <w:rsid w:val="00307F12"/>
    <w:rsid w:val="0032632B"/>
    <w:rsid w:val="003361C5"/>
    <w:rsid w:val="003453A4"/>
    <w:rsid w:val="00353AC7"/>
    <w:rsid w:val="003573A7"/>
    <w:rsid w:val="00371E53"/>
    <w:rsid w:val="00377D64"/>
    <w:rsid w:val="0038485B"/>
    <w:rsid w:val="00394E87"/>
    <w:rsid w:val="00396ED7"/>
    <w:rsid w:val="003A18FD"/>
    <w:rsid w:val="003A2C6D"/>
    <w:rsid w:val="003A386E"/>
    <w:rsid w:val="003A56FD"/>
    <w:rsid w:val="003A5824"/>
    <w:rsid w:val="003A7CC6"/>
    <w:rsid w:val="003B43A7"/>
    <w:rsid w:val="003D1C71"/>
    <w:rsid w:val="003D1FBC"/>
    <w:rsid w:val="003D3BF0"/>
    <w:rsid w:val="003D660C"/>
    <w:rsid w:val="003D7B69"/>
    <w:rsid w:val="003E241E"/>
    <w:rsid w:val="003F1A6F"/>
    <w:rsid w:val="003F353A"/>
    <w:rsid w:val="003F5561"/>
    <w:rsid w:val="00407568"/>
    <w:rsid w:val="00413BD5"/>
    <w:rsid w:val="00417706"/>
    <w:rsid w:val="00430D38"/>
    <w:rsid w:val="00432ED1"/>
    <w:rsid w:val="0043610C"/>
    <w:rsid w:val="004441C6"/>
    <w:rsid w:val="00444993"/>
    <w:rsid w:val="00450B40"/>
    <w:rsid w:val="004649F8"/>
    <w:rsid w:val="004722AE"/>
    <w:rsid w:val="004768E5"/>
    <w:rsid w:val="004812A2"/>
    <w:rsid w:val="0049303B"/>
    <w:rsid w:val="004A355B"/>
    <w:rsid w:val="004A359E"/>
    <w:rsid w:val="004B4C01"/>
    <w:rsid w:val="004C226B"/>
    <w:rsid w:val="004C38F0"/>
    <w:rsid w:val="004D49DB"/>
    <w:rsid w:val="004D5373"/>
    <w:rsid w:val="004F06E1"/>
    <w:rsid w:val="004F2F18"/>
    <w:rsid w:val="004F70FA"/>
    <w:rsid w:val="005138E4"/>
    <w:rsid w:val="0051664E"/>
    <w:rsid w:val="00522703"/>
    <w:rsid w:val="005249DB"/>
    <w:rsid w:val="00526045"/>
    <w:rsid w:val="0053334F"/>
    <w:rsid w:val="00533AE1"/>
    <w:rsid w:val="00535B8F"/>
    <w:rsid w:val="00542272"/>
    <w:rsid w:val="005548BF"/>
    <w:rsid w:val="00554F8B"/>
    <w:rsid w:val="00556000"/>
    <w:rsid w:val="005705AB"/>
    <w:rsid w:val="005755B9"/>
    <w:rsid w:val="00582A8C"/>
    <w:rsid w:val="005946A2"/>
    <w:rsid w:val="00594B2A"/>
    <w:rsid w:val="00596B58"/>
    <w:rsid w:val="0059745B"/>
    <w:rsid w:val="005978EF"/>
    <w:rsid w:val="005A6AFF"/>
    <w:rsid w:val="005B274C"/>
    <w:rsid w:val="005B31CD"/>
    <w:rsid w:val="005C29FD"/>
    <w:rsid w:val="005D2019"/>
    <w:rsid w:val="005D2217"/>
    <w:rsid w:val="005D57BF"/>
    <w:rsid w:val="005E69E0"/>
    <w:rsid w:val="005F3763"/>
    <w:rsid w:val="005F6559"/>
    <w:rsid w:val="00600878"/>
    <w:rsid w:val="00603669"/>
    <w:rsid w:val="00622819"/>
    <w:rsid w:val="00622B10"/>
    <w:rsid w:val="00625930"/>
    <w:rsid w:val="0063170A"/>
    <w:rsid w:val="00631CCE"/>
    <w:rsid w:val="00631CE1"/>
    <w:rsid w:val="0063341E"/>
    <w:rsid w:val="006506AB"/>
    <w:rsid w:val="00652FFD"/>
    <w:rsid w:val="00662C8F"/>
    <w:rsid w:val="006636C5"/>
    <w:rsid w:val="00664F51"/>
    <w:rsid w:val="00690BED"/>
    <w:rsid w:val="0069711D"/>
    <w:rsid w:val="006A110D"/>
    <w:rsid w:val="006A2929"/>
    <w:rsid w:val="006B5DD3"/>
    <w:rsid w:val="006B689C"/>
    <w:rsid w:val="006C1BDB"/>
    <w:rsid w:val="006C2E94"/>
    <w:rsid w:val="006D6BF0"/>
    <w:rsid w:val="006E19B1"/>
    <w:rsid w:val="006F614C"/>
    <w:rsid w:val="00703994"/>
    <w:rsid w:val="00713607"/>
    <w:rsid w:val="00714287"/>
    <w:rsid w:val="00714484"/>
    <w:rsid w:val="0072012A"/>
    <w:rsid w:val="00720B0B"/>
    <w:rsid w:val="00720F7B"/>
    <w:rsid w:val="0072189A"/>
    <w:rsid w:val="00722530"/>
    <w:rsid w:val="00732815"/>
    <w:rsid w:val="00737461"/>
    <w:rsid w:val="00760D7C"/>
    <w:rsid w:val="00767056"/>
    <w:rsid w:val="00773092"/>
    <w:rsid w:val="007947BD"/>
    <w:rsid w:val="00796B0F"/>
    <w:rsid w:val="007A328D"/>
    <w:rsid w:val="007A47DD"/>
    <w:rsid w:val="007B5967"/>
    <w:rsid w:val="007C411E"/>
    <w:rsid w:val="007C6924"/>
    <w:rsid w:val="007C6F0E"/>
    <w:rsid w:val="007D1408"/>
    <w:rsid w:val="007D4026"/>
    <w:rsid w:val="007D4AC7"/>
    <w:rsid w:val="007D51C9"/>
    <w:rsid w:val="007D6CA0"/>
    <w:rsid w:val="007E1A8B"/>
    <w:rsid w:val="007F1F23"/>
    <w:rsid w:val="007F2023"/>
    <w:rsid w:val="007F3586"/>
    <w:rsid w:val="007F4266"/>
    <w:rsid w:val="00804C13"/>
    <w:rsid w:val="00805302"/>
    <w:rsid w:val="0080589F"/>
    <w:rsid w:val="00807E19"/>
    <w:rsid w:val="0081328F"/>
    <w:rsid w:val="008163BF"/>
    <w:rsid w:val="00824F9E"/>
    <w:rsid w:val="008300BE"/>
    <w:rsid w:val="00830FA6"/>
    <w:rsid w:val="008326CA"/>
    <w:rsid w:val="00834DD4"/>
    <w:rsid w:val="00852710"/>
    <w:rsid w:val="00857F1D"/>
    <w:rsid w:val="008615F0"/>
    <w:rsid w:val="00886AD9"/>
    <w:rsid w:val="00887CE7"/>
    <w:rsid w:val="00890B12"/>
    <w:rsid w:val="008940BA"/>
    <w:rsid w:val="00894C24"/>
    <w:rsid w:val="008A3076"/>
    <w:rsid w:val="008A7325"/>
    <w:rsid w:val="008B1198"/>
    <w:rsid w:val="008B7B41"/>
    <w:rsid w:val="008C55A9"/>
    <w:rsid w:val="008C6AC1"/>
    <w:rsid w:val="008C74B0"/>
    <w:rsid w:val="008D387C"/>
    <w:rsid w:val="008D7FC2"/>
    <w:rsid w:val="008E2BED"/>
    <w:rsid w:val="008E5795"/>
    <w:rsid w:val="008E5810"/>
    <w:rsid w:val="00903E46"/>
    <w:rsid w:val="009056CB"/>
    <w:rsid w:val="00906BA2"/>
    <w:rsid w:val="009230D7"/>
    <w:rsid w:val="0093141D"/>
    <w:rsid w:val="00931DA2"/>
    <w:rsid w:val="00947947"/>
    <w:rsid w:val="009626D3"/>
    <w:rsid w:val="009706DC"/>
    <w:rsid w:val="009713AA"/>
    <w:rsid w:val="009732C1"/>
    <w:rsid w:val="00975F49"/>
    <w:rsid w:val="0097657E"/>
    <w:rsid w:val="00984696"/>
    <w:rsid w:val="0098498C"/>
    <w:rsid w:val="00984CF5"/>
    <w:rsid w:val="009913FD"/>
    <w:rsid w:val="009A5397"/>
    <w:rsid w:val="009A6203"/>
    <w:rsid w:val="009A6CAB"/>
    <w:rsid w:val="009B3471"/>
    <w:rsid w:val="009C4519"/>
    <w:rsid w:val="009E0D94"/>
    <w:rsid w:val="00A00662"/>
    <w:rsid w:val="00A01333"/>
    <w:rsid w:val="00A10B4E"/>
    <w:rsid w:val="00A11951"/>
    <w:rsid w:val="00A319EB"/>
    <w:rsid w:val="00A34E69"/>
    <w:rsid w:val="00A35D62"/>
    <w:rsid w:val="00A36F47"/>
    <w:rsid w:val="00A65A87"/>
    <w:rsid w:val="00A66CC8"/>
    <w:rsid w:val="00A71369"/>
    <w:rsid w:val="00A7598B"/>
    <w:rsid w:val="00A83175"/>
    <w:rsid w:val="00A83E95"/>
    <w:rsid w:val="00A903A1"/>
    <w:rsid w:val="00A90F5D"/>
    <w:rsid w:val="00AA52A0"/>
    <w:rsid w:val="00AC17F9"/>
    <w:rsid w:val="00AC59D8"/>
    <w:rsid w:val="00AC615F"/>
    <w:rsid w:val="00AC77FD"/>
    <w:rsid w:val="00AD30F4"/>
    <w:rsid w:val="00AF146F"/>
    <w:rsid w:val="00AF36FC"/>
    <w:rsid w:val="00B01E36"/>
    <w:rsid w:val="00B164A6"/>
    <w:rsid w:val="00B175A4"/>
    <w:rsid w:val="00B21BD2"/>
    <w:rsid w:val="00B235FE"/>
    <w:rsid w:val="00B266CE"/>
    <w:rsid w:val="00B26D8F"/>
    <w:rsid w:val="00B30277"/>
    <w:rsid w:val="00B46571"/>
    <w:rsid w:val="00B47A30"/>
    <w:rsid w:val="00B547A8"/>
    <w:rsid w:val="00B71E62"/>
    <w:rsid w:val="00B77B1A"/>
    <w:rsid w:val="00B81C30"/>
    <w:rsid w:val="00B85BC6"/>
    <w:rsid w:val="00B90263"/>
    <w:rsid w:val="00B927B2"/>
    <w:rsid w:val="00BA23D7"/>
    <w:rsid w:val="00BA4633"/>
    <w:rsid w:val="00BA4FF9"/>
    <w:rsid w:val="00BB1301"/>
    <w:rsid w:val="00BB37C2"/>
    <w:rsid w:val="00BB4CBB"/>
    <w:rsid w:val="00BD39F6"/>
    <w:rsid w:val="00BD670D"/>
    <w:rsid w:val="00BE28BF"/>
    <w:rsid w:val="00BF376E"/>
    <w:rsid w:val="00C0076D"/>
    <w:rsid w:val="00C00DD9"/>
    <w:rsid w:val="00C02790"/>
    <w:rsid w:val="00C1431E"/>
    <w:rsid w:val="00C15FDB"/>
    <w:rsid w:val="00C202DD"/>
    <w:rsid w:val="00C36A54"/>
    <w:rsid w:val="00C401AA"/>
    <w:rsid w:val="00C42094"/>
    <w:rsid w:val="00C421AB"/>
    <w:rsid w:val="00C77597"/>
    <w:rsid w:val="00C87FCF"/>
    <w:rsid w:val="00C97065"/>
    <w:rsid w:val="00CA4609"/>
    <w:rsid w:val="00CB4AB5"/>
    <w:rsid w:val="00CC139F"/>
    <w:rsid w:val="00CE48C8"/>
    <w:rsid w:val="00CF0F58"/>
    <w:rsid w:val="00CF7019"/>
    <w:rsid w:val="00D033DC"/>
    <w:rsid w:val="00D03926"/>
    <w:rsid w:val="00D05D59"/>
    <w:rsid w:val="00D0619E"/>
    <w:rsid w:val="00D067A5"/>
    <w:rsid w:val="00D1241B"/>
    <w:rsid w:val="00D20DD6"/>
    <w:rsid w:val="00D24C11"/>
    <w:rsid w:val="00D34949"/>
    <w:rsid w:val="00D37F9F"/>
    <w:rsid w:val="00D60067"/>
    <w:rsid w:val="00D61F22"/>
    <w:rsid w:val="00D643DA"/>
    <w:rsid w:val="00D852F5"/>
    <w:rsid w:val="00D87C30"/>
    <w:rsid w:val="00DA18FC"/>
    <w:rsid w:val="00DB6353"/>
    <w:rsid w:val="00DB77EE"/>
    <w:rsid w:val="00DC4D43"/>
    <w:rsid w:val="00DC511D"/>
    <w:rsid w:val="00DD3874"/>
    <w:rsid w:val="00DE69A7"/>
    <w:rsid w:val="00DF6B6B"/>
    <w:rsid w:val="00E11FA3"/>
    <w:rsid w:val="00E15E00"/>
    <w:rsid w:val="00E175E6"/>
    <w:rsid w:val="00E21762"/>
    <w:rsid w:val="00E223BF"/>
    <w:rsid w:val="00E35A84"/>
    <w:rsid w:val="00E35B10"/>
    <w:rsid w:val="00E440EE"/>
    <w:rsid w:val="00E53CC9"/>
    <w:rsid w:val="00E57D51"/>
    <w:rsid w:val="00E62D2D"/>
    <w:rsid w:val="00E62F5C"/>
    <w:rsid w:val="00E63B24"/>
    <w:rsid w:val="00E64F70"/>
    <w:rsid w:val="00E72A6A"/>
    <w:rsid w:val="00E81466"/>
    <w:rsid w:val="00E821AE"/>
    <w:rsid w:val="00E87D6D"/>
    <w:rsid w:val="00EB1F41"/>
    <w:rsid w:val="00EC36C9"/>
    <w:rsid w:val="00ED4CC8"/>
    <w:rsid w:val="00ED4F2D"/>
    <w:rsid w:val="00ED70D9"/>
    <w:rsid w:val="00EE2C2F"/>
    <w:rsid w:val="00EE538B"/>
    <w:rsid w:val="00EF4576"/>
    <w:rsid w:val="00EF50DB"/>
    <w:rsid w:val="00F02206"/>
    <w:rsid w:val="00F11C82"/>
    <w:rsid w:val="00F21D31"/>
    <w:rsid w:val="00F244F4"/>
    <w:rsid w:val="00F2478F"/>
    <w:rsid w:val="00F2485A"/>
    <w:rsid w:val="00F24D2F"/>
    <w:rsid w:val="00F26965"/>
    <w:rsid w:val="00F30765"/>
    <w:rsid w:val="00F3740C"/>
    <w:rsid w:val="00F40B1C"/>
    <w:rsid w:val="00F429DD"/>
    <w:rsid w:val="00F458BC"/>
    <w:rsid w:val="00F82622"/>
    <w:rsid w:val="00F847DA"/>
    <w:rsid w:val="00F869BD"/>
    <w:rsid w:val="00FA0189"/>
    <w:rsid w:val="00FA6A7D"/>
    <w:rsid w:val="00FC2AFA"/>
    <w:rsid w:val="00FC5B5A"/>
    <w:rsid w:val="00FD2039"/>
    <w:rsid w:val="00FE181B"/>
    <w:rsid w:val="00FE46DA"/>
    <w:rsid w:val="00FF2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99E8D4E"/>
  <w15:chartTrackingRefBased/>
  <w15:docId w15:val="{D056279E-69A4-4847-84DA-A71467C2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4519"/>
  </w:style>
  <w:style w:type="paragraph" w:styleId="Heading1">
    <w:name w:val="heading 1"/>
    <w:basedOn w:val="Normal"/>
    <w:next w:val="Normal"/>
    <w:link w:val="Heading1Char"/>
    <w:uiPriority w:val="9"/>
    <w:qFormat/>
    <w:rsid w:val="003D3B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266"/>
    <w:pPr>
      <w:ind w:left="720"/>
      <w:contextualSpacing/>
    </w:pPr>
  </w:style>
  <w:style w:type="paragraph" w:styleId="BalloonText">
    <w:name w:val="Balloon Text"/>
    <w:basedOn w:val="Normal"/>
    <w:link w:val="BalloonTextChar"/>
    <w:uiPriority w:val="99"/>
    <w:semiHidden/>
    <w:unhideWhenUsed/>
    <w:rsid w:val="00DC4D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D43"/>
    <w:rPr>
      <w:rFonts w:ascii="Segoe UI" w:hAnsi="Segoe UI" w:cs="Segoe UI"/>
      <w:sz w:val="18"/>
      <w:szCs w:val="18"/>
    </w:rPr>
  </w:style>
  <w:style w:type="paragraph" w:styleId="NoSpacing">
    <w:name w:val="No Spacing"/>
    <w:uiPriority w:val="1"/>
    <w:qFormat/>
    <w:rsid w:val="00DC4D43"/>
    <w:pPr>
      <w:spacing w:after="0" w:line="240" w:lineRule="auto"/>
    </w:pPr>
  </w:style>
  <w:style w:type="character" w:styleId="Hyperlink">
    <w:name w:val="Hyperlink"/>
    <w:basedOn w:val="DefaultParagraphFont"/>
    <w:uiPriority w:val="99"/>
    <w:unhideWhenUsed/>
    <w:rsid w:val="00D87C30"/>
    <w:rPr>
      <w:color w:val="0563C1" w:themeColor="hyperlink"/>
      <w:u w:val="single"/>
    </w:rPr>
  </w:style>
  <w:style w:type="paragraph" w:styleId="Header">
    <w:name w:val="header"/>
    <w:basedOn w:val="Normal"/>
    <w:link w:val="HeaderChar"/>
    <w:uiPriority w:val="99"/>
    <w:unhideWhenUsed/>
    <w:rsid w:val="00984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696"/>
  </w:style>
  <w:style w:type="paragraph" w:styleId="Footer">
    <w:name w:val="footer"/>
    <w:basedOn w:val="Normal"/>
    <w:link w:val="FooterChar"/>
    <w:uiPriority w:val="99"/>
    <w:unhideWhenUsed/>
    <w:rsid w:val="00984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696"/>
  </w:style>
  <w:style w:type="character" w:customStyle="1" w:styleId="Heading1Char">
    <w:name w:val="Heading 1 Char"/>
    <w:basedOn w:val="DefaultParagraphFont"/>
    <w:link w:val="Heading1"/>
    <w:uiPriority w:val="9"/>
    <w:rsid w:val="003D3BF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D3BF0"/>
    <w:pPr>
      <w:outlineLvl w:val="9"/>
    </w:pPr>
  </w:style>
  <w:style w:type="paragraph" w:styleId="NormalWeb">
    <w:name w:val="Normal (Web)"/>
    <w:basedOn w:val="Normal"/>
    <w:uiPriority w:val="99"/>
    <w:unhideWhenUsed/>
    <w:rsid w:val="00A006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21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03859">
      <w:bodyDiv w:val="1"/>
      <w:marLeft w:val="0"/>
      <w:marRight w:val="0"/>
      <w:marTop w:val="0"/>
      <w:marBottom w:val="0"/>
      <w:divBdr>
        <w:top w:val="none" w:sz="0" w:space="0" w:color="auto"/>
        <w:left w:val="none" w:sz="0" w:space="0" w:color="auto"/>
        <w:bottom w:val="none" w:sz="0" w:space="0" w:color="auto"/>
        <w:right w:val="none" w:sz="0" w:space="0" w:color="auto"/>
      </w:divBdr>
    </w:div>
    <w:div w:id="626086100">
      <w:bodyDiv w:val="1"/>
      <w:marLeft w:val="0"/>
      <w:marRight w:val="0"/>
      <w:marTop w:val="0"/>
      <w:marBottom w:val="0"/>
      <w:divBdr>
        <w:top w:val="none" w:sz="0" w:space="0" w:color="auto"/>
        <w:left w:val="none" w:sz="0" w:space="0" w:color="auto"/>
        <w:bottom w:val="none" w:sz="0" w:space="0" w:color="auto"/>
        <w:right w:val="none" w:sz="0" w:space="0" w:color="auto"/>
      </w:divBdr>
    </w:div>
    <w:div w:id="753939494">
      <w:bodyDiv w:val="1"/>
      <w:marLeft w:val="0"/>
      <w:marRight w:val="0"/>
      <w:marTop w:val="0"/>
      <w:marBottom w:val="0"/>
      <w:divBdr>
        <w:top w:val="none" w:sz="0" w:space="0" w:color="auto"/>
        <w:left w:val="none" w:sz="0" w:space="0" w:color="auto"/>
        <w:bottom w:val="none" w:sz="0" w:space="0" w:color="auto"/>
        <w:right w:val="none" w:sz="0" w:space="0" w:color="auto"/>
      </w:divBdr>
    </w:div>
    <w:div w:id="1227647976">
      <w:bodyDiv w:val="1"/>
      <w:marLeft w:val="0"/>
      <w:marRight w:val="0"/>
      <w:marTop w:val="0"/>
      <w:marBottom w:val="0"/>
      <w:divBdr>
        <w:top w:val="none" w:sz="0" w:space="0" w:color="auto"/>
        <w:left w:val="none" w:sz="0" w:space="0" w:color="auto"/>
        <w:bottom w:val="none" w:sz="0" w:space="0" w:color="auto"/>
        <w:right w:val="none" w:sz="0" w:space="0" w:color="auto"/>
      </w:divBdr>
    </w:div>
    <w:div w:id="1267735444">
      <w:bodyDiv w:val="1"/>
      <w:marLeft w:val="0"/>
      <w:marRight w:val="0"/>
      <w:marTop w:val="0"/>
      <w:marBottom w:val="0"/>
      <w:divBdr>
        <w:top w:val="none" w:sz="0" w:space="0" w:color="auto"/>
        <w:left w:val="none" w:sz="0" w:space="0" w:color="auto"/>
        <w:bottom w:val="none" w:sz="0" w:space="0" w:color="auto"/>
        <w:right w:val="none" w:sz="0" w:space="0" w:color="auto"/>
      </w:divBdr>
    </w:div>
    <w:div w:id="1415008849">
      <w:bodyDiv w:val="1"/>
      <w:marLeft w:val="0"/>
      <w:marRight w:val="0"/>
      <w:marTop w:val="0"/>
      <w:marBottom w:val="0"/>
      <w:divBdr>
        <w:top w:val="none" w:sz="0" w:space="0" w:color="auto"/>
        <w:left w:val="none" w:sz="0" w:space="0" w:color="auto"/>
        <w:bottom w:val="none" w:sz="0" w:space="0" w:color="auto"/>
        <w:right w:val="none" w:sz="0" w:space="0" w:color="auto"/>
      </w:divBdr>
    </w:div>
    <w:div w:id="1467963919">
      <w:bodyDiv w:val="1"/>
      <w:marLeft w:val="0"/>
      <w:marRight w:val="0"/>
      <w:marTop w:val="0"/>
      <w:marBottom w:val="0"/>
      <w:divBdr>
        <w:top w:val="none" w:sz="0" w:space="0" w:color="auto"/>
        <w:left w:val="none" w:sz="0" w:space="0" w:color="auto"/>
        <w:bottom w:val="none" w:sz="0" w:space="0" w:color="auto"/>
        <w:right w:val="none" w:sz="0" w:space="0" w:color="auto"/>
      </w:divBdr>
    </w:div>
    <w:div w:id="1632979258">
      <w:bodyDiv w:val="1"/>
      <w:marLeft w:val="0"/>
      <w:marRight w:val="0"/>
      <w:marTop w:val="0"/>
      <w:marBottom w:val="0"/>
      <w:divBdr>
        <w:top w:val="none" w:sz="0" w:space="0" w:color="auto"/>
        <w:left w:val="none" w:sz="0" w:space="0" w:color="auto"/>
        <w:bottom w:val="none" w:sz="0" w:space="0" w:color="auto"/>
        <w:right w:val="none" w:sz="0" w:space="0" w:color="auto"/>
      </w:divBdr>
    </w:div>
    <w:div w:id="1811825308">
      <w:bodyDiv w:val="1"/>
      <w:marLeft w:val="0"/>
      <w:marRight w:val="0"/>
      <w:marTop w:val="0"/>
      <w:marBottom w:val="0"/>
      <w:divBdr>
        <w:top w:val="none" w:sz="0" w:space="0" w:color="auto"/>
        <w:left w:val="none" w:sz="0" w:space="0" w:color="auto"/>
        <w:bottom w:val="none" w:sz="0" w:space="0" w:color="auto"/>
        <w:right w:val="none" w:sz="0" w:space="0" w:color="auto"/>
      </w:divBdr>
    </w:div>
    <w:div w:id="1956591860">
      <w:bodyDiv w:val="1"/>
      <w:marLeft w:val="0"/>
      <w:marRight w:val="0"/>
      <w:marTop w:val="0"/>
      <w:marBottom w:val="0"/>
      <w:divBdr>
        <w:top w:val="none" w:sz="0" w:space="0" w:color="auto"/>
        <w:left w:val="none" w:sz="0" w:space="0" w:color="auto"/>
        <w:bottom w:val="none" w:sz="0" w:space="0" w:color="auto"/>
        <w:right w:val="none" w:sz="0" w:space="0" w:color="auto"/>
      </w:divBdr>
    </w:div>
    <w:div w:id="19989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87D4A-DF12-4D33-8B5D-9527147EC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SUNY Geneseo</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Noble</dc:creator>
  <cp:keywords/>
  <dc:description/>
  <cp:lastModifiedBy>Sandra M Noble</cp:lastModifiedBy>
  <cp:revision>3</cp:revision>
  <cp:lastPrinted>2021-03-07T00:13:00Z</cp:lastPrinted>
  <dcterms:created xsi:type="dcterms:W3CDTF">2021-03-07T19:52:00Z</dcterms:created>
  <dcterms:modified xsi:type="dcterms:W3CDTF">2021-03-08T00:15:00Z</dcterms:modified>
</cp:coreProperties>
</file>